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drawing>
          <wp:inline distB="0" distT="0" distL="114300" distR="114300">
            <wp:extent cx="428625" cy="42672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6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2565"/>
        </w:tabs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vertAlign w:val="baseline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center" w:pos="4819"/>
          <w:tab w:val="right" w:pos="9638"/>
        </w:tabs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0"/>
          <w:color w:val="000000"/>
          <w:sz w:val="24"/>
          <w:szCs w:val="24"/>
          <w:vertAlign w:val="baseline"/>
          <w:rtl w:val="0"/>
        </w:rPr>
        <w:t xml:space="preserve">Istituto Comprensivo Statale Scuola Infanzia, Primaria e Secondaria I°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center" w:pos="4819"/>
          <w:tab w:val="right" w:pos="9638"/>
        </w:tabs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b w:val="0"/>
          <w:color w:val="000000"/>
          <w:sz w:val="24"/>
          <w:szCs w:val="24"/>
          <w:vertAlign w:val="baseline"/>
          <w:rtl w:val="0"/>
        </w:rPr>
        <w:t xml:space="preserve">G. SEGANTINI”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center" w:pos="4819"/>
          <w:tab w:val="right" w:pos="9638"/>
        </w:tabs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0"/>
          <w:color w:val="000000"/>
          <w:sz w:val="24"/>
          <w:szCs w:val="24"/>
          <w:vertAlign w:val="baseline"/>
          <w:rtl w:val="0"/>
        </w:rPr>
        <w:t xml:space="preserve">22033 ASSO (CO) - Viale delle  Rimembranze, 17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center" w:pos="4819"/>
          <w:tab w:val="right" w:pos="9638"/>
        </w:tabs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0"/>
          <w:color w:val="000000"/>
          <w:sz w:val="24"/>
          <w:szCs w:val="24"/>
          <w:vertAlign w:val="baseline"/>
          <w:rtl w:val="0"/>
        </w:rPr>
        <w:t xml:space="preserve">C.F. 82002020137 - COIC803003 -Tel. n°. 031672089 - Fax 031681471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Tahoma" w:cs="Tahoma" w:eastAsia="Tahoma" w:hAnsi="Tahoma"/>
          <w:b w:val="0"/>
          <w:color w:val="000000"/>
          <w:sz w:val="24"/>
          <w:szCs w:val="24"/>
          <w:vertAlign w:val="baseline"/>
          <w:rtl w:val="0"/>
        </w:rPr>
        <w:t xml:space="preserve">coic803003@istruzione.it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40"/>
          <w:szCs w:val="40"/>
          <w:vertAlign w:val="baseline"/>
          <w:rtl w:val="0"/>
        </w:rPr>
        <w:t xml:space="preserve">PROGRAMMAZIONE ANNUALE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vertAlign w:val="baseline"/>
          <w:rtl w:val="0"/>
        </w:rPr>
        <w:t xml:space="preserve">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40"/>
          <w:szCs w:val="40"/>
          <w:vertAlign w:val="baseline"/>
          <w:rtl w:val="0"/>
        </w:rPr>
        <w:t xml:space="preserve">GEOGRAFIA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48"/>
          <w:szCs w:val="48"/>
          <w:vertAlign w:val="baseline"/>
          <w:rtl w:val="0"/>
        </w:rPr>
        <w:t xml:space="preserve">Classe 5^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ind w:left="43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ind w:left="43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ind w:left="43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ind w:left="43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ind w:left="432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Anno scolastico 2016-2017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Quadro orario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color w:val="000000"/>
          <w:sz w:val="20"/>
          <w:szCs w:val="20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2 ore settimanali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0"/>
          <w:szCs w:val="20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Quadro delle competenze:</w:t>
      </w: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042.0" w:type="dxa"/>
        <w:jc w:val="left"/>
        <w:tblInd w:w="-337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3969"/>
        <w:gridCol w:w="6073"/>
        <w:tblGridChange w:id="0">
          <w:tblGrid>
            <w:gridCol w:w="3969"/>
            <w:gridCol w:w="6073"/>
          </w:tblGrid>
        </w:tblGridChange>
      </w:tblGrid>
      <w:tr>
        <w:trPr>
          <w:trHeight w:val="1860" w:hRule="atLeast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left w:w="9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u w:val="single"/>
                <w:vertAlign w:val="baseline"/>
                <w:rtl w:val="0"/>
              </w:rPr>
              <w:t xml:space="preserve">Competenze disciplinari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left w:w="9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  Orientamento e carte mentali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  Linguaggio della geo-graficità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  Paesaggio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  Regione e sistema territoriale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065.0" w:type="dxa"/>
        <w:jc w:val="left"/>
        <w:tblInd w:w="-358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1984"/>
        <w:gridCol w:w="4253"/>
        <w:gridCol w:w="3828"/>
        <w:tblGridChange w:id="0">
          <w:tblGrid>
            <w:gridCol w:w="1984"/>
            <w:gridCol w:w="4253"/>
            <w:gridCol w:w="3828"/>
          </w:tblGrid>
        </w:tblGridChange>
      </w:tblGrid>
      <w:t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u w:val="single"/>
                <w:vertAlign w:val="baseline"/>
                <w:rtl w:val="0"/>
              </w:rPr>
              <w:t xml:space="preserve">Articolazione delle competenze in abilità e 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  Orientamento e carte mentali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1a. Orientarsi nello spazio e sulle carte geografiche, utilizzando la bussola e i punti cardinali.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1b. Definire le proprie carte mentali utilizzando i riferimenti topologici e i punti cardinali.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1c. Utilizzare le proprie carte mentali per localizzare e definire aspetti fisico- politici del territorio italiano.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1d. Estendere le proprie carte mentali a tutto il territorio italiano e a spazi più lontani attraverso fotografie, carte geografiche e immagini da satellite.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1e. Posizionare toponimi fisici e antropici sulle carte mute.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numPr>
                <w:ilvl w:val="0"/>
                <w:numId w:val="8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le carte geografiche fisiche, politiche, fisico-politiche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8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i simboli geografici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8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lettura della legenda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8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uso delle coordinate geografiche per l’individuazione di un punto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8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progettazione di itinerari di viaggio, segnalando e collegando le diverse tappe sulla carta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8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utilizzo di carte mute per verificare le conoscenze acquisite e favorire la formazione di carte mentali.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  Linguaggio della geo-graficità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2a. Analizzare fatti e fenomeni locali, interpretando carte geografiche a diversa scala, carte tematiche, grafici, immagini da satellite.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2b. Localizzare sulla carta geografica dell’Italia la posizione delle regioni fisiche e amministrative.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2c. Leggere e interpretare le carte geografiche utilizzando correttamente i termini specifici della disciplina.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numPr>
                <w:ilvl w:val="0"/>
                <w:numId w:val="4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costruzione di carte tematiche per il lavoro di indagine sul territorio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4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lettura carte geografiche, grafici, immagini satellitari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4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le Regioni amministrative italiane: loro localizzazione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10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osservazioni sulle caratteristiche fisico-antropiche di alcune regioni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10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ricerca di informazioni geografiche da una pluralità di fonti (cartografiche, satellitari, fotografiche, artistico - letterarie).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 Paesaggio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3a. Conoscere e descrivere gli elementi caratterizzanti i principali paesaggi italiani, individuando le analogie, le differenze e gli elementi di particolare valore ambientale e culturale.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numPr>
                <w:ilvl w:val="0"/>
                <w:numId w:val="1"/>
              </w:numPr>
              <w:spacing w:after="100" w:before="10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Ricerca e proposta di soluzioni di problemi relativi alla protezione, conservazione e valorizzazione del patrimonio ambientale.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4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Regione e sistema territoriale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4a. Comprendere che il territorio è costituito da elementi fisici ed antropici connessi e interdipendenti.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4b. Conoscere e applicare le varie declinazioni del concetto di regione geografica (fisica, climatica, storico-culturale, amministrativa) al contesto italiano.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4c. Individuare problemi relativi alla tutela e valorizzazione del patrimonio naturale e culturale, analizzando le soluzioni adottate e proponendo soluzioni idonee al contesto vicino.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</w:tcMar>
          </w:tcPr>
          <w:p w:rsidR="00000000" w:rsidDel="00000000" w:rsidP="00000000" w:rsidRDefault="00000000" w:rsidRPr="00000000">
            <w:pPr>
              <w:keepNext w:val="1"/>
              <w:numPr>
                <w:ilvl w:val="0"/>
                <w:numId w:val="11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le relazioni tra ambiente, risorse e condizioni di vita dell’uomo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11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settore primario, secondario e terziario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11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osservazioni sulle conseguenze dell’intervento dell’uomo: inquinamento, alterazioni dell’equilibrio naturale (frane, alluvioni,…)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11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Analisi, attraverso casi concreti, delle conseguenze positive e negative delle attività umane sull’ambiente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ind w:left="36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Contenuti del programma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100" w:before="280" w:line="36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Primo  quadrimestre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3"/>
        </w:numPr>
        <w:spacing w:after="0" w:before="280" w:line="24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L’Italia e la sua posizione in Europa e nel mondo.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3"/>
        </w:numPr>
        <w:spacing w:after="0" w:before="280" w:line="24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Caratteristiche più significative della Nazione Italiana: popolazione e lavoro.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3"/>
        </w:numPr>
        <w:spacing w:after="0" w:before="280" w:line="24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Le regioni amministrative.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3"/>
        </w:numPr>
        <w:spacing w:after="0" w:before="280" w:line="24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Viaggio nelle regioni d’Italia.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3"/>
        </w:numPr>
        <w:spacing w:after="0" w:before="280" w:line="24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Confronto tra regioni d’Italia.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100" w:before="280" w:line="36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Secondo quadrimestre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12"/>
        </w:numPr>
        <w:spacing w:after="100" w:before="280" w:line="36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Viaggio nelle regioni d’Italia.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12"/>
        </w:numPr>
        <w:spacing w:after="100" w:before="280" w:line="36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Confronto tra regioni d’Italia.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12"/>
        </w:numPr>
        <w:spacing w:after="100" w:before="280" w:line="36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Rispetto dell’ambiente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Moduli interdisciplinari</w:t>
      </w: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 (Tra discipline dello stesso asse o di assi diversi)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0"/>
          <w:szCs w:val="20"/>
          <w:vertAlign w:val="baseline"/>
          <w:rtl w:val="0"/>
        </w:rPr>
        <w:t xml:space="preserve">(Verranno concordati nell’agenda di modulo o del team)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Attività svolte dagli studenti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955.0" w:type="dxa"/>
        <w:jc w:val="left"/>
        <w:tblInd w:w="-304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9955"/>
        <w:tblGridChange w:id="0">
          <w:tblGrid>
            <w:gridCol w:w="9955"/>
          </w:tblGrid>
        </w:tblGridChange>
      </w:tblGrid>
      <w:tr>
        <w:trPr>
          <w:trHeight w:val="2040" w:hRule="atLeast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left w:w="98.0" w:type="dxa"/>
            </w:tcMar>
          </w:tcPr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Esercitazioni di orientamento e di lettura di carte geografiche.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Realizzazione di piante, mappe, 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Realizzazione di mappe concettuali.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Analisi di immagini significative.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Utilizzazione di grafici, statistiche e altre semplici tecniche quantitative.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Lavoro di gruppo.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Attività di ricerca.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Discussione.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Costruzione di uno schema per l’analisi e lo sviluppo delle regioni.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Giochi a quiz sulle diverse regioni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numPr>
                <w:ilvl w:val="0"/>
                <w:numId w:val="6"/>
              </w:numPr>
              <w:spacing w:after="0" w:before="0" w:line="240" w:lineRule="auto"/>
              <w:ind w:left="360" w:hanging="360"/>
              <w:jc w:val="both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baseline"/>
                <w:rtl w:val="0"/>
              </w:rPr>
              <w:t xml:space="preserve">Osservazione diretta e indagine sul territorio attraverso lezioni itineranti, visite e viaggi d’istruzione.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Metodologie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L’alunno verrà condotto ad allargare ed organizzare il suo concetto di spazio attraverso una consapevole riflessione.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Molto utile allo scopo sarà quindi, dove possibile la visita guidata, la rappresentazione simbolica, l’uso di mappe, piante, carte geografiche, globo e planisfero da cui trarre informazioni utili.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L’attività scolastica cercherà di operare una mediazione tra l’esperienza diretta e la conoscenza di esperienze attraverso la lettura di un testo scritto, l’osservazione di una fotografia, di una diapositiva, di una illustrazione, di un grafico per confrontare, comprendere e ricavare informazioni.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tabs>
          <w:tab w:val="left" w:pos="360"/>
        </w:tabs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Mezzi  didattici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Testi adottati: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2"/>
        </w:numPr>
        <w:spacing w:after="0" w:before="0" w:line="24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Libri di testo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ind w:left="360" w:firstLine="0"/>
        <w:contextualSpacing w:val="0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2"/>
        </w:numPr>
        <w:spacing w:after="0" w:before="0" w:line="24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Eventuali sussidi didattici o testi di approfondimento: atlante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2"/>
        </w:numPr>
        <w:spacing w:after="0" w:before="0" w:line="240" w:lineRule="auto"/>
        <w:ind w:left="720" w:hanging="360"/>
        <w:contextualSpacing w:val="1"/>
        <w:jc w:val="both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Attrezzature e spazi didattici utilizzati: Internet, materiale multimediale, immagini, carte, mappe, tabelle, Lim…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2"/>
        </w:numPr>
        <w:spacing w:after="0" w:before="0" w:line="240" w:lineRule="auto"/>
        <w:ind w:left="720" w:hanging="360"/>
        <w:rPr>
          <w:rFonts w:ascii="Arial" w:cs="Arial" w:eastAsia="Arial" w:hAnsi="Arial"/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Altro: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Modalita’ di valutazione e di recupero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Attraverso un piano di verifica e valutazione graduato e strutturato, che si avvale di verifiche intermedie e finali, l’insegnante potrà meglio monitorare costantemente l’acquisizione delle diverse competenze.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17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Sarà molto importante anche la valutazione che l’insegnante darà circa la partecipazione, le proposte e gli interventi di ogni singolo alunno. Per gli alunni con diagnosi, sempre più numerosi nelle classi, è prevista una valutazione che parta dai percorsi individuati nel PDP, fornendo prove facilitate,  seguendo le indicazioni suggerite dagli specialisti.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vertAlign w:val="baseline"/>
          <w:rtl w:val="0"/>
        </w:rPr>
        <w:t xml:space="preserve">Obiettivi minimi richiesti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1. ORIENTAMENTO </w:t>
      </w: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1a.Utilizzare correttamente gli indicatori spaziali.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7"/>
        </w:numPr>
        <w:spacing w:after="0" w:before="0" w:line="240" w:lineRule="auto"/>
        <w:ind w:left="720" w:hanging="360"/>
        <w:jc w:val="both"/>
        <w:rPr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Sa individuare su una carta geografica i punti cardinali.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7"/>
        </w:numPr>
        <w:spacing w:after="0" w:before="0" w:line="240" w:lineRule="auto"/>
        <w:ind w:left="720" w:hanging="360"/>
        <w:jc w:val="both"/>
        <w:rPr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Sa individuare in uno spazio i punti cardinali, partendo da uno dato.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2. LINGUAGGIO DELLA GEO-GRAFICITÀ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2a. Conoscere vari tipi di carte.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9"/>
        </w:numPr>
        <w:spacing w:after="0" w:before="0" w:line="240" w:lineRule="auto"/>
        <w:ind w:left="720" w:hanging="360"/>
        <w:jc w:val="both"/>
        <w:rPr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Sa riconoscere vari tipi di carte dell’Italia: geografiche (fisiche e politiche), tematiche.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9"/>
        </w:numPr>
        <w:spacing w:after="0" w:before="0" w:line="240" w:lineRule="auto"/>
        <w:ind w:left="720" w:hanging="360"/>
        <w:jc w:val="both"/>
        <w:rPr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Sa orientarsi sulle carte geografiche, utilizzando i punti cardinali.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vertAlign w:val="baseline"/>
          <w:rtl w:val="0"/>
        </w:rPr>
        <w:t xml:space="preserve">3. PAESAGGIO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3a. Conoscere i principali elementi caratterizzanti i vari paesaggi italiani.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3b. Comprendere il rapporto che lega l’uomo e l’ambiente.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5"/>
        </w:numPr>
        <w:spacing w:after="0" w:before="0" w:line="240" w:lineRule="auto"/>
        <w:ind w:left="720" w:hanging="360"/>
        <w:jc w:val="both"/>
        <w:rPr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Sa riconoscere le modifiche principali apportate dall’uomo sul territorio.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numPr>
          <w:ilvl w:val="0"/>
          <w:numId w:val="5"/>
        </w:numPr>
        <w:spacing w:after="0" w:before="0" w:line="240" w:lineRule="auto"/>
        <w:ind w:left="720" w:hanging="360"/>
        <w:jc w:val="both"/>
        <w:rPr>
          <w:b w:val="0"/>
          <w:color w:val="00000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vertAlign w:val="baseline"/>
          <w:rtl w:val="0"/>
        </w:rPr>
        <w:t xml:space="preserve">Sa usare in modo adeguato una terminologia semplice relativa alla geografia fisica.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/>
      <w:pgMar w:bottom="1134" w:top="1276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1"/>
      <w:tabs>
        <w:tab w:val="center" w:pos="4819"/>
        <w:tab w:val="right" w:pos="9638"/>
      </w:tabs>
      <w:spacing w:after="0" w:before="0" w:line="240" w:lineRule="auto"/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1"/>
      <w:tabs>
        <w:tab w:val="center" w:pos="4819"/>
        <w:tab w:val="right" w:pos="9638"/>
      </w:tabs>
      <w:spacing w:after="720" w:before="0" w:line="240" w:lineRule="auto"/>
      <w:ind w:right="360"/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360" w:firstLine="72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firstLine="2880"/>
      </w:pPr>
      <w:rPr>
        <w:sz w:val="22"/>
        <w:szCs w:val="22"/>
        <w:vertAlign w:val="baseline"/>
      </w:rPr>
    </w:lvl>
    <w:lvl w:ilvl="2">
      <w:start w:val="1"/>
      <w:numFmt w:val="lowerLetter"/>
      <w:lvlText w:val="%3."/>
      <w:lvlJc w:val="left"/>
      <w:pPr>
        <w:ind w:left="1800" w:firstLine="5040"/>
      </w:pPr>
      <w:rPr>
        <w:sz w:val="22"/>
        <w:szCs w:val="22"/>
        <w:vertAlign w:val="baseline"/>
      </w:rPr>
    </w:lvl>
    <w:lvl w:ilvl="3">
      <w:start w:val="1"/>
      <w:numFmt w:val="lowerLetter"/>
      <w:lvlText w:val="%4."/>
      <w:lvlJc w:val="left"/>
      <w:pPr>
        <w:ind w:left="2520" w:firstLine="7200"/>
      </w:pPr>
      <w:rPr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3240" w:firstLine="9360"/>
      </w:pPr>
      <w:rPr>
        <w:sz w:val="22"/>
        <w:szCs w:val="22"/>
        <w:vertAlign w:val="baseline"/>
      </w:rPr>
    </w:lvl>
    <w:lvl w:ilvl="5">
      <w:start w:val="1"/>
      <w:numFmt w:val="lowerLetter"/>
      <w:lvlText w:val="%6."/>
      <w:lvlJc w:val="left"/>
      <w:pPr>
        <w:ind w:left="3960" w:firstLine="11520"/>
      </w:pPr>
      <w:rPr>
        <w:sz w:val="22"/>
        <w:szCs w:val="22"/>
        <w:vertAlign w:val="baseline"/>
      </w:rPr>
    </w:lvl>
    <w:lvl w:ilvl="6">
      <w:start w:val="1"/>
      <w:numFmt w:val="lowerLetter"/>
      <w:lvlText w:val="%7."/>
      <w:lvlJc w:val="left"/>
      <w:pPr>
        <w:ind w:left="4680" w:firstLine="13680"/>
      </w:pPr>
      <w:rPr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400" w:firstLine="15840"/>
      </w:pPr>
      <w:rPr>
        <w:sz w:val="22"/>
        <w:szCs w:val="22"/>
        <w:vertAlign w:val="baseline"/>
      </w:rPr>
    </w:lvl>
    <w:lvl w:ilvl="8">
      <w:start w:val="1"/>
      <w:numFmt w:val="lowerLetter"/>
      <w:lvlText w:val="%9."/>
      <w:lvlJc w:val="left"/>
      <w:pPr>
        <w:ind w:left="6120" w:firstLine="18000"/>
      </w:pPr>
      <w:rPr>
        <w:sz w:val="22"/>
        <w:szCs w:val="22"/>
        <w:vertAlign w:val="baseli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firstLine="1800"/>
      </w:pPr>
      <w:rPr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2160" w:firstLine="630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sz w:val="22"/>
        <w:szCs w:val="22"/>
        <w:vertAlign w:val="baseline"/>
      </w:rPr>
    </w:lvl>
    <w:lvl w:ilvl="5">
      <w:start w:val="1"/>
      <w:numFmt w:val="lowerRoman"/>
      <w:lvlText w:val="%6."/>
      <w:lvlJc w:val="right"/>
      <w:pPr>
        <w:ind w:left="4320" w:firstLine="1278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sz w:val="22"/>
        <w:szCs w:val="22"/>
        <w:vertAlign w:val="baseline"/>
      </w:rPr>
    </w:lvl>
    <w:lvl w:ilvl="8">
      <w:start w:val="1"/>
      <w:numFmt w:val="lowerRoman"/>
      <w:lvlText w:val="%9."/>
      <w:lvlJc w:val="right"/>
      <w:pPr>
        <w:ind w:left="6480" w:firstLine="19260"/>
      </w:pPr>
      <w:rPr>
        <w:sz w:val="22"/>
        <w:szCs w:val="22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1800"/>
      </w:pPr>
      <w:rPr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440" w:firstLine="3960"/>
      </w:pPr>
      <w:rPr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2160" w:firstLine="612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sz w:val="22"/>
        <w:szCs w:val="22"/>
        <w:vertAlign w:val="baseline"/>
      </w:rPr>
    </w:lvl>
    <w:lvl w:ilvl="4">
      <w:start w:val="1"/>
      <w:numFmt w:val="decimal"/>
      <w:lvlText w:val="%5."/>
      <w:lvlJc w:val="left"/>
      <w:pPr>
        <w:ind w:left="3600" w:firstLine="10440"/>
      </w:pPr>
      <w:rPr>
        <w:sz w:val="22"/>
        <w:szCs w:val="22"/>
        <w:vertAlign w:val="baseline"/>
      </w:rPr>
    </w:lvl>
    <w:lvl w:ilvl="5">
      <w:start w:val="1"/>
      <w:numFmt w:val="decimal"/>
      <w:lvlText w:val="%6."/>
      <w:lvlJc w:val="left"/>
      <w:pPr>
        <w:ind w:left="4320" w:firstLine="1260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sz w:val="22"/>
        <w:szCs w:val="22"/>
        <w:vertAlign w:val="baseline"/>
      </w:rPr>
    </w:lvl>
    <w:lvl w:ilvl="7">
      <w:start w:val="1"/>
      <w:numFmt w:val="decimal"/>
      <w:lvlText w:val="%8."/>
      <w:lvlJc w:val="left"/>
      <w:pPr>
        <w:ind w:left="5760" w:firstLine="16920"/>
      </w:pPr>
      <w:rPr>
        <w:sz w:val="22"/>
        <w:szCs w:val="22"/>
        <w:vertAlign w:val="baseline"/>
      </w:rPr>
    </w:lvl>
    <w:lvl w:ilvl="8">
      <w:start w:val="1"/>
      <w:numFmt w:val="decimal"/>
      <w:lvlText w:val="%9."/>
      <w:lvlJc w:val="left"/>
      <w:pPr>
        <w:ind w:left="6480" w:firstLine="19080"/>
      </w:pPr>
      <w:rPr>
        <w:sz w:val="22"/>
        <w:szCs w:val="22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360" w:firstLine="72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5">
    <w:lvl w:ilvl="0">
      <w:start w:val="1"/>
      <w:numFmt w:val="bullet"/>
      <w:lvlText w:val="→"/>
      <w:lvlJc w:val="left"/>
      <w:pPr>
        <w:ind w:left="720" w:firstLine="180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360" w:firstLine="72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7">
    <w:lvl w:ilvl="0">
      <w:start w:val="1"/>
      <w:numFmt w:val="bullet"/>
      <w:lvlText w:val="→"/>
      <w:lvlJc w:val="left"/>
      <w:pPr>
        <w:ind w:left="720" w:firstLine="180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→"/>
      <w:lvlJc w:val="left"/>
      <w:pPr>
        <w:ind w:left="1440" w:firstLine="396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→"/>
      <w:lvlJc w:val="left"/>
      <w:pPr>
        <w:ind w:left="2160" w:firstLine="612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→"/>
      <w:lvlJc w:val="left"/>
      <w:pPr>
        <w:ind w:left="2880" w:firstLine="828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360" w:firstLine="72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9">
    <w:lvl w:ilvl="0">
      <w:start w:val="1"/>
      <w:numFmt w:val="bullet"/>
      <w:lvlText w:val="→"/>
      <w:lvlJc w:val="left"/>
      <w:pPr>
        <w:ind w:left="720" w:firstLine="180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360" w:firstLine="72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360" w:firstLine="72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firstLine="1800"/>
      </w:pPr>
      <w:rPr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440" w:firstLine="3960"/>
      </w:pPr>
      <w:rPr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2160" w:firstLine="612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sz w:val="22"/>
        <w:szCs w:val="22"/>
        <w:vertAlign w:val="baseline"/>
      </w:rPr>
    </w:lvl>
    <w:lvl w:ilvl="4">
      <w:start w:val="1"/>
      <w:numFmt w:val="decimal"/>
      <w:lvlText w:val="%5."/>
      <w:lvlJc w:val="left"/>
      <w:pPr>
        <w:ind w:left="3600" w:firstLine="10440"/>
      </w:pPr>
      <w:rPr>
        <w:sz w:val="22"/>
        <w:szCs w:val="22"/>
        <w:vertAlign w:val="baseline"/>
      </w:rPr>
    </w:lvl>
    <w:lvl w:ilvl="5">
      <w:start w:val="1"/>
      <w:numFmt w:val="decimal"/>
      <w:lvlText w:val="%6."/>
      <w:lvlJc w:val="left"/>
      <w:pPr>
        <w:ind w:left="4320" w:firstLine="1260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sz w:val="22"/>
        <w:szCs w:val="22"/>
        <w:vertAlign w:val="baseline"/>
      </w:rPr>
    </w:lvl>
    <w:lvl w:ilvl="7">
      <w:start w:val="1"/>
      <w:numFmt w:val="decimal"/>
      <w:lvlText w:val="%8."/>
      <w:lvlJc w:val="left"/>
      <w:pPr>
        <w:ind w:left="5760" w:firstLine="16920"/>
      </w:pPr>
      <w:rPr>
        <w:sz w:val="22"/>
        <w:szCs w:val="22"/>
        <w:vertAlign w:val="baseline"/>
      </w:rPr>
    </w:lvl>
    <w:lvl w:ilvl="8">
      <w:start w:val="1"/>
      <w:numFmt w:val="decimal"/>
      <w:lvlText w:val="%9."/>
      <w:lvlJc w:val="left"/>
      <w:pPr>
        <w:ind w:left="6480" w:firstLine="19080"/>
      </w:pPr>
      <w:rPr>
        <w:sz w:val="22"/>
        <w:szCs w:val="22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80" w:before="36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4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40" w:before="22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40" w:before="20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